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9CC" w:rsidRDefault="004509BE" w:rsidP="004509BE">
      <w:pPr>
        <w:pStyle w:val="a5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FB72B4">
        <w:rPr>
          <w:sz w:val="21"/>
          <w:szCs w:val="21"/>
        </w:rPr>
        <w:t>8</w:t>
      </w:r>
      <w:r w:rsidR="002B132C">
        <w:rPr>
          <w:sz w:val="21"/>
          <w:szCs w:val="21"/>
        </w:rPr>
        <w:t xml:space="preserve"> </w:t>
      </w:r>
    </w:p>
    <w:p w:rsidR="004509BE" w:rsidRPr="002E7CB2" w:rsidRDefault="004509BE" w:rsidP="004509BE">
      <w:pPr>
        <w:pStyle w:val="a5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>к договору №</w:t>
      </w:r>
      <w:r w:rsidR="00CD70BD">
        <w:rPr>
          <w:sz w:val="21"/>
          <w:szCs w:val="21"/>
        </w:rPr>
        <w:t xml:space="preserve"> </w:t>
      </w:r>
    </w:p>
    <w:p w:rsidR="004509BE" w:rsidRPr="002E7CB2" w:rsidRDefault="004509BE" w:rsidP="004509BE">
      <w:pPr>
        <w:pStyle w:val="a5"/>
        <w:spacing w:after="120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 w:rsidR="004915DA">
        <w:rPr>
          <w:sz w:val="21"/>
          <w:szCs w:val="21"/>
        </w:rPr>
        <w:t xml:space="preserve">______ </w:t>
      </w:r>
      <w:r w:rsidR="00E5592A">
        <w:rPr>
          <w:sz w:val="21"/>
          <w:szCs w:val="21"/>
        </w:rPr>
        <w:t>20</w:t>
      </w:r>
      <w:r w:rsidR="004F6DE4">
        <w:rPr>
          <w:sz w:val="21"/>
          <w:szCs w:val="21"/>
        </w:rPr>
        <w:t>2</w:t>
      </w:r>
      <w:r w:rsidR="000252E2">
        <w:rPr>
          <w:sz w:val="21"/>
          <w:szCs w:val="21"/>
        </w:rPr>
        <w:t>4</w:t>
      </w:r>
      <w:r w:rsidR="004D2DFF"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4509BE" w:rsidRPr="004D2DFF" w:rsidRDefault="004509BE" w:rsidP="004D2DFF">
      <w:pPr>
        <w:spacing w:after="120"/>
        <w:ind w:firstLine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</w:t>
      </w:r>
      <w:r w:rsidR="004A0263" w:rsidRPr="002E7CB2">
        <w:rPr>
          <w:sz w:val="21"/>
          <w:szCs w:val="21"/>
        </w:rPr>
        <w:t xml:space="preserve">Ганиева Наиля </w:t>
      </w:r>
      <w:proofErr w:type="spellStart"/>
      <w:r w:rsidR="004A0263"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4915DA">
        <w:rPr>
          <w:sz w:val="21"/>
          <w:szCs w:val="21"/>
        </w:rPr>
        <w:t>______________</w:t>
      </w:r>
      <w:r w:rsidR="004F6DE4" w:rsidRPr="004F6DE4">
        <w:rPr>
          <w:sz w:val="21"/>
          <w:szCs w:val="21"/>
        </w:rPr>
        <w:t xml:space="preserve"> (</w:t>
      </w:r>
      <w:r w:rsidR="004915DA">
        <w:rPr>
          <w:sz w:val="21"/>
          <w:szCs w:val="21"/>
        </w:rPr>
        <w:t>___________</w:t>
      </w:r>
      <w:r w:rsidR="004F6DE4" w:rsidRPr="004F6DE4">
        <w:rPr>
          <w:sz w:val="21"/>
          <w:szCs w:val="21"/>
        </w:rPr>
        <w:t>),</w:t>
      </w:r>
      <w:r w:rsidR="004F6DE4" w:rsidRPr="00FC4D09">
        <w:rPr>
          <w:sz w:val="22"/>
        </w:rPr>
        <w:t xml:space="preserve"> </w:t>
      </w:r>
      <w:r w:rsidR="004A0263" w:rsidRPr="002E7CB2">
        <w:rPr>
          <w:sz w:val="21"/>
          <w:szCs w:val="21"/>
        </w:rPr>
        <w:t xml:space="preserve"> именуемое в дальнейшем </w:t>
      </w:r>
      <w:r w:rsidR="00AE69CC">
        <w:rPr>
          <w:bCs/>
          <w:sz w:val="21"/>
          <w:szCs w:val="21"/>
        </w:rPr>
        <w:t>«</w:t>
      </w:r>
      <w:r w:rsidR="004C5314">
        <w:rPr>
          <w:bCs/>
          <w:sz w:val="21"/>
          <w:szCs w:val="21"/>
        </w:rPr>
        <w:t>Исполнитель</w:t>
      </w:r>
      <w:r w:rsidR="00AE69CC">
        <w:rPr>
          <w:bCs/>
          <w:sz w:val="21"/>
          <w:szCs w:val="21"/>
        </w:rPr>
        <w:t>»</w:t>
      </w:r>
      <w:r w:rsidR="004A0263" w:rsidRPr="002E7CB2">
        <w:rPr>
          <w:sz w:val="21"/>
          <w:szCs w:val="21"/>
        </w:rPr>
        <w:t xml:space="preserve">, в лице </w:t>
      </w:r>
      <w:r w:rsidR="00163E66">
        <w:rPr>
          <w:sz w:val="21"/>
          <w:szCs w:val="21"/>
        </w:rPr>
        <w:t>___________________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 w:rsidR="00163E66">
        <w:rPr>
          <w:sz w:val="21"/>
          <w:szCs w:val="21"/>
        </w:rPr>
        <w:t>______________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</w:t>
      </w:r>
      <w:r w:rsidR="00B74806">
        <w:rPr>
          <w:sz w:val="21"/>
          <w:szCs w:val="21"/>
        </w:rPr>
        <w:t>а</w:t>
      </w:r>
      <w:r w:rsidR="00340C2D">
        <w:rPr>
          <w:sz w:val="21"/>
          <w:szCs w:val="21"/>
        </w:rPr>
        <w:t>ключили настоящее Приложение №8</w:t>
      </w:r>
      <w:r w:rsidRPr="002E7CB2">
        <w:rPr>
          <w:sz w:val="21"/>
          <w:szCs w:val="21"/>
        </w:rPr>
        <w:t xml:space="preserve"> к договору </w:t>
      </w:r>
      <w:r w:rsidR="00163E66">
        <w:rPr>
          <w:sz w:val="21"/>
          <w:szCs w:val="21"/>
        </w:rPr>
        <w:t>_______</w:t>
      </w:r>
      <w:r w:rsidR="004D2DFF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от «</w:t>
      </w:r>
      <w:r w:rsidR="00163E66">
        <w:rPr>
          <w:sz w:val="21"/>
          <w:szCs w:val="21"/>
        </w:rPr>
        <w:t>__</w:t>
      </w:r>
      <w:r w:rsidR="004D2DFF" w:rsidRPr="004D2DFF">
        <w:rPr>
          <w:sz w:val="21"/>
          <w:szCs w:val="21"/>
        </w:rPr>
        <w:t>»</w:t>
      </w:r>
      <w:r w:rsidR="00B74806">
        <w:rPr>
          <w:sz w:val="21"/>
          <w:szCs w:val="21"/>
        </w:rPr>
        <w:t xml:space="preserve"> </w:t>
      </w:r>
      <w:r w:rsidR="00163E66">
        <w:rPr>
          <w:sz w:val="21"/>
          <w:szCs w:val="21"/>
        </w:rPr>
        <w:t>_________</w:t>
      </w:r>
      <w:r w:rsidR="00D83CE6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20</w:t>
      </w:r>
      <w:r w:rsidR="004F6DE4">
        <w:rPr>
          <w:sz w:val="21"/>
          <w:szCs w:val="21"/>
        </w:rPr>
        <w:t>2</w:t>
      </w:r>
      <w:r w:rsidR="000252E2">
        <w:rPr>
          <w:sz w:val="21"/>
          <w:szCs w:val="21"/>
        </w:rPr>
        <w:t>4</w:t>
      </w:r>
      <w:r w:rsidR="004D2DFF" w:rsidRPr="004D2DFF">
        <w:rPr>
          <w:sz w:val="21"/>
          <w:szCs w:val="21"/>
        </w:rPr>
        <w:t xml:space="preserve"> г.</w:t>
      </w:r>
    </w:p>
    <w:p w:rsidR="004509BE" w:rsidRPr="002E7CB2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4509BE" w:rsidRPr="002E7CB2" w:rsidRDefault="004509BE" w:rsidP="004509BE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Нижеуказанные штрафы применяются в случае нарушений, допущенных </w:t>
      </w:r>
      <w:proofErr w:type="gramStart"/>
      <w:r w:rsidRPr="002E7CB2">
        <w:rPr>
          <w:sz w:val="21"/>
          <w:szCs w:val="21"/>
        </w:rPr>
        <w:t>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</w:t>
      </w:r>
      <w:proofErr w:type="spellStart"/>
      <w:proofErr w:type="gramEnd"/>
      <w:r w:rsidRPr="002E7CB2">
        <w:rPr>
          <w:sz w:val="21"/>
          <w:szCs w:val="21"/>
        </w:rPr>
        <w:t>Субиспонителем</w:t>
      </w:r>
      <w:proofErr w:type="spellEnd"/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 , третьими лицами привлеченными Исполнителем для </w:t>
      </w:r>
      <w:r w:rsidR="006B75DA" w:rsidRPr="002E7CB2">
        <w:rPr>
          <w:sz w:val="21"/>
          <w:szCs w:val="21"/>
        </w:rPr>
        <w:t>оказания</w:t>
      </w:r>
      <w:r w:rsidRPr="002E7CB2">
        <w:rPr>
          <w:sz w:val="21"/>
          <w:szCs w:val="21"/>
        </w:rPr>
        <w:t xml:space="preserve"> </w:t>
      </w:r>
      <w:r w:rsidR="004C5314" w:rsidRPr="002E7CB2">
        <w:rPr>
          <w:sz w:val="21"/>
          <w:szCs w:val="21"/>
        </w:rPr>
        <w:t>услуг</w:t>
      </w:r>
      <w:r w:rsidRPr="002E7CB2">
        <w:rPr>
          <w:sz w:val="21"/>
          <w:szCs w:val="21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D94F00" w:rsidRPr="00F90BB1" w:rsidTr="00F70DBC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D94F00" w:rsidRPr="00DA7DC4" w:rsidRDefault="00D94F00" w:rsidP="00F70DB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4F00" w:rsidRPr="00010006" w:rsidRDefault="00D94F00" w:rsidP="00F70DB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D94F00" w:rsidRPr="006B6AD7" w:rsidTr="00F70DBC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D94F00" w:rsidRPr="00DA7DC4" w:rsidRDefault="00D94F00" w:rsidP="00F70DB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94F00" w:rsidRPr="00DA7DC4" w:rsidRDefault="00D94F00" w:rsidP="00F70DB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4F00" w:rsidRPr="00DA7DC4" w:rsidRDefault="00D94F00" w:rsidP="00F70DBC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D94F00" w:rsidRPr="0078057B" w:rsidTr="00F70DBC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2272C7" w:rsidRDefault="00D94F00" w:rsidP="00F70DBC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D94F00" w:rsidRPr="00F90BB1" w:rsidTr="00F70DBC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D94F00" w:rsidRPr="0078057B" w:rsidTr="00F70DBC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D94F00" w:rsidRPr="00F90BB1" w:rsidTr="00F70DBC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D94F00" w:rsidRDefault="00D94F00" w:rsidP="00F70DBC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D94F00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</w:p>
          <w:p w:rsidR="00D94F00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D94F00" w:rsidRPr="00F90BB1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E4010C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опасности исправных инструментов и приборов,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D94F00" w:rsidRPr="002272C7" w:rsidRDefault="00D94F00" w:rsidP="00D94F00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B056D0" w:rsidRDefault="00D94F00" w:rsidP="00F70DB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B056D0" w:rsidRDefault="00D94F00" w:rsidP="00F70DBC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D94F00" w:rsidRPr="00986505" w:rsidRDefault="00D94F00" w:rsidP="00F70DB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D94F00" w:rsidRPr="00986505" w:rsidRDefault="00D94F00" w:rsidP="00F70DB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</w:t>
            </w:r>
            <w:r w:rsidRPr="00986505">
              <w:rPr>
                <w:iCs/>
                <w:sz w:val="22"/>
              </w:rPr>
              <w:lastRenderedPageBreak/>
              <w:t xml:space="preserve">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E6329F" w:rsidRDefault="00D94F00" w:rsidP="00F70DB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D94F00" w:rsidRPr="0078057B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E6329F" w:rsidRDefault="00D94F00" w:rsidP="00F70DB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D94F00" w:rsidRPr="005C778E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D94F00" w:rsidRPr="005C778E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D94F00" w:rsidRPr="005C778E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B056D0" w:rsidRDefault="00D94F00" w:rsidP="00F70DB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</w:t>
            </w:r>
            <w:r w:rsidRPr="00B056D0">
              <w:rPr>
                <w:sz w:val="22"/>
                <w:szCs w:val="22"/>
                <w:lang w:val="ru-RU"/>
              </w:rPr>
              <w:lastRenderedPageBreak/>
              <w:t xml:space="preserve">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D94F00" w:rsidRPr="00B056D0" w:rsidRDefault="00D94F00" w:rsidP="00F70DB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1 500 000</w:t>
            </w:r>
          </w:p>
        </w:tc>
      </w:tr>
      <w:tr w:rsidR="00D94F00" w:rsidRPr="005C778E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E6329F" w:rsidRDefault="00D94F00" w:rsidP="00F70DBC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D94F00" w:rsidRPr="0078057B" w:rsidTr="00F70DBC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D94F00" w:rsidRPr="00C56CFC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D94F00" w:rsidRPr="0078057B" w:rsidTr="00F70DBC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D94F00" w:rsidRPr="0078057B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D94F00" w:rsidRPr="00F90BB1" w:rsidTr="00F70DBC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D94F00" w:rsidRPr="00F90BB1" w:rsidTr="00F70DBC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D94F00" w:rsidRPr="00C56CFC" w:rsidRDefault="00D94F00" w:rsidP="00F70DBC">
            <w:pPr>
              <w:spacing w:after="120"/>
              <w:jc w:val="both"/>
              <w:rPr>
                <w:sz w:val="22"/>
              </w:rPr>
            </w:pPr>
          </w:p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D94F00" w:rsidRPr="005C778E" w:rsidTr="00F70DBC">
        <w:trPr>
          <w:trHeight w:val="1053"/>
        </w:trPr>
        <w:tc>
          <w:tcPr>
            <w:tcW w:w="654" w:type="dxa"/>
            <w:shd w:val="clear" w:color="auto" w:fill="auto"/>
          </w:tcPr>
          <w:p w:rsidR="00D94F00" w:rsidRPr="00B056D0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B056D0" w:rsidRDefault="00D94F00" w:rsidP="00F70DB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center"/>
              <w:rPr>
                <w:sz w:val="22"/>
              </w:rPr>
            </w:pPr>
          </w:p>
          <w:p w:rsidR="00D94F00" w:rsidRPr="00B056D0" w:rsidRDefault="00D94F00" w:rsidP="00F70DB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D94F00" w:rsidRDefault="00D94F00" w:rsidP="00F70DBC">
            <w:pPr>
              <w:spacing w:after="120"/>
              <w:jc w:val="center"/>
              <w:rPr>
                <w:sz w:val="22"/>
              </w:rPr>
            </w:pPr>
          </w:p>
        </w:tc>
      </w:tr>
      <w:tr w:rsidR="00D94F00" w:rsidRPr="005C778E" w:rsidTr="00F70DBC">
        <w:trPr>
          <w:trHeight w:val="1053"/>
        </w:trPr>
        <w:tc>
          <w:tcPr>
            <w:tcW w:w="654" w:type="dxa"/>
            <w:shd w:val="clear" w:color="auto" w:fill="auto"/>
          </w:tcPr>
          <w:p w:rsidR="00D94F00" w:rsidRPr="00B056D0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B056D0" w:rsidRDefault="00D94F00" w:rsidP="00F70DBC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94F00" w:rsidRDefault="00D94F00" w:rsidP="00F70DBC">
            <w:pPr>
              <w:spacing w:after="120"/>
              <w:jc w:val="center"/>
              <w:rPr>
                <w:sz w:val="22"/>
              </w:rPr>
            </w:pPr>
          </w:p>
          <w:p w:rsidR="00D94F00" w:rsidRPr="00B056D0" w:rsidRDefault="00D94F00" w:rsidP="00F70DBC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D94F00" w:rsidRDefault="00D94F00" w:rsidP="00F70DBC">
            <w:pPr>
              <w:spacing w:after="120"/>
              <w:jc w:val="center"/>
              <w:rPr>
                <w:sz w:val="22"/>
              </w:rPr>
            </w:pPr>
          </w:p>
        </w:tc>
      </w:tr>
      <w:tr w:rsidR="00D94F00" w:rsidRPr="00F90BB1" w:rsidTr="00F70DBC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D94F00" w:rsidRPr="00F90BB1" w:rsidTr="00F70DBC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D94F00" w:rsidRPr="0078057B" w:rsidTr="00F70DBC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</w:p>
        </w:tc>
      </w:tr>
      <w:tr w:rsidR="00D94F00" w:rsidRPr="0078057B" w:rsidTr="00F70DBC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D94F00" w:rsidRPr="0078057B" w:rsidTr="00F70DBC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D94F00" w:rsidRPr="00F90BB1" w:rsidTr="00F70DBC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D94F00" w:rsidRPr="005C778E" w:rsidTr="00F70DBC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33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D94F00" w:rsidRPr="00F90BB1" w:rsidTr="00F70DBC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D94F00" w:rsidRPr="005C778E" w:rsidTr="00F70DBC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D94F00" w:rsidRPr="005C778E" w:rsidTr="00F70DBC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D94F00" w:rsidRPr="00C74E03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056D0" w:rsidRDefault="00D94F00" w:rsidP="00F70DBC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D94F00" w:rsidRPr="00F90BB1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D94F00" w:rsidRPr="005C778E" w:rsidTr="00F70DBC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986505" w:rsidRDefault="00D94F00" w:rsidP="00F70DBC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D94F00" w:rsidRPr="005C778E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0C153B" w:rsidRDefault="00D94F00" w:rsidP="00F70DBC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</w:p>
          <w:p w:rsidR="00D94F00" w:rsidRPr="00C56CFC" w:rsidRDefault="00D94F00" w:rsidP="00F70DBC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D94F00" w:rsidRPr="00F90BB1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0C153B" w:rsidRDefault="00D94F00" w:rsidP="00F70DBC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D94F00" w:rsidRPr="00936BEA" w:rsidRDefault="00D94F00" w:rsidP="00F70DBC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D94F00" w:rsidRPr="00986505" w:rsidRDefault="00D94F00" w:rsidP="00F70DBC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D94F00" w:rsidRPr="00513369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0C153B" w:rsidRDefault="00D94F00" w:rsidP="00F70DBC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936BEA" w:rsidRDefault="00D94F00" w:rsidP="00F70DBC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D94F00" w:rsidRPr="00513369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0C153B" w:rsidRDefault="00D94F00" w:rsidP="00F70DBC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Default="00D94F00" w:rsidP="00F70DBC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D94F00" w:rsidRPr="00806F16" w:rsidRDefault="00D94F00" w:rsidP="00F70DBC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D94F00" w:rsidRPr="000C153B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B1671D" w:rsidRDefault="00D94F00" w:rsidP="00F70DBC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1671D" w:rsidRDefault="00D94F00" w:rsidP="00F70DBC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D94F00" w:rsidRPr="000C153B" w:rsidRDefault="00D94F00" w:rsidP="00F70DBC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D94F00" w:rsidRPr="000C153B" w:rsidTr="00F70DBC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D94F00" w:rsidRPr="00C56CFC" w:rsidRDefault="00D94F00" w:rsidP="00D94F00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D94F00" w:rsidRPr="005F5E4C" w:rsidRDefault="00D94F00" w:rsidP="00F70DBC">
            <w:pPr>
              <w:jc w:val="both"/>
              <w:rPr>
                <w:szCs w:val="24"/>
              </w:rPr>
            </w:pPr>
            <w:r w:rsidRPr="0077449A">
              <w:rPr>
                <w:szCs w:val="24"/>
              </w:rPr>
              <w:t>Исполнитель обязуется при оказании услуг третьим лицам не применять пропуск</w:t>
            </w:r>
            <w:r>
              <w:rPr>
                <w:szCs w:val="24"/>
              </w:rPr>
              <w:t>а</w:t>
            </w:r>
            <w:r w:rsidRPr="0077449A">
              <w:rPr>
                <w:szCs w:val="24"/>
              </w:rPr>
              <w:t xml:space="preserve">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4F00" w:rsidRPr="00B8387D" w:rsidRDefault="00D94F00" w:rsidP="00F70DB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500</w:t>
            </w:r>
            <w:r w:rsidRPr="00B8387D">
              <w:rPr>
                <w:color w:val="000000"/>
                <w:szCs w:val="24"/>
              </w:rPr>
              <w:t xml:space="preserve"> 000</w:t>
            </w:r>
          </w:p>
          <w:p w:rsidR="00D94F00" w:rsidRPr="005F5E4C" w:rsidRDefault="00D94F00" w:rsidP="00F70DBC">
            <w:pPr>
              <w:jc w:val="center"/>
              <w:rPr>
                <w:szCs w:val="24"/>
              </w:rPr>
            </w:pPr>
            <w:r w:rsidRPr="00B8387D">
              <w:rPr>
                <w:color w:val="000000"/>
                <w:szCs w:val="24"/>
              </w:rPr>
              <w:t>(за каждый случай)</w:t>
            </w:r>
          </w:p>
        </w:tc>
      </w:tr>
    </w:tbl>
    <w:p w:rsidR="00394C80" w:rsidRDefault="00394C80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bookmarkStart w:id="64" w:name="_GoBack"/>
      <w:bookmarkEnd w:id="64"/>
    </w:p>
    <w:p w:rsidR="00361B1F" w:rsidRPr="002E7CB2" w:rsidRDefault="005427AE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 xml:space="preserve">Штрафы выставляются по каждому установленному факту нарушения. Подтверждается актами, </w:t>
      </w:r>
      <w:proofErr w:type="gramStart"/>
      <w:r w:rsidRPr="002E7CB2">
        <w:rPr>
          <w:iCs/>
          <w:sz w:val="21"/>
          <w:szCs w:val="21"/>
        </w:rPr>
        <w:t>предписаниями</w:t>
      </w:r>
      <w:proofErr w:type="gramEnd"/>
      <w:r w:rsidRPr="002E7CB2">
        <w:rPr>
          <w:iCs/>
          <w:sz w:val="21"/>
          <w:szCs w:val="21"/>
        </w:rPr>
        <w:t xml:space="preserve"> выданными Заказчиком.</w:t>
      </w:r>
    </w:p>
    <w:p w:rsidR="00361B1F" w:rsidRPr="002E7CB2" w:rsidRDefault="004509BE" w:rsidP="00261E1E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4509BE" w:rsidRPr="002E7CB2" w:rsidRDefault="004509BE" w:rsidP="00261E1E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E7CB2" w:rsidRPr="00261E1E" w:rsidRDefault="002E7CB2" w:rsidP="00261E1E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2E7CB2" w:rsidRPr="002E7CB2" w:rsidTr="002E7CB2">
        <w:trPr>
          <w:trHeight w:val="1564"/>
          <w:jc w:val="center"/>
        </w:trPr>
        <w:tc>
          <w:tcPr>
            <w:tcW w:w="4600" w:type="dxa"/>
          </w:tcPr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</w:t>
            </w:r>
            <w:r w:rsidR="00A24ACF">
              <w:rPr>
                <w:b/>
                <w:sz w:val="21"/>
                <w:szCs w:val="21"/>
              </w:rPr>
              <w:t>Исполнитель</w:t>
            </w:r>
            <w:r w:rsidR="002E7CB2" w:rsidRPr="002E7CB2">
              <w:rPr>
                <w:b/>
                <w:sz w:val="21"/>
                <w:szCs w:val="21"/>
              </w:rPr>
              <w:t>»</w:t>
            </w:r>
            <w:r w:rsidR="002E7CB2" w:rsidRPr="002E7CB2">
              <w:rPr>
                <w:sz w:val="21"/>
                <w:szCs w:val="21"/>
              </w:rPr>
              <w:tab/>
            </w:r>
          </w:p>
          <w:p w:rsidR="00B74806" w:rsidRDefault="00163E66" w:rsidP="00B74806">
            <w:pPr>
              <w:pStyle w:val="aff3"/>
              <w:ind w:left="0"/>
              <w:jc w:val="both"/>
              <w:rPr>
                <w:iCs/>
                <w:sz w:val="21"/>
                <w:szCs w:val="21"/>
                <w:lang w:val="ru-RU"/>
              </w:rPr>
            </w:pPr>
            <w:r>
              <w:rPr>
                <w:iCs/>
                <w:sz w:val="21"/>
                <w:szCs w:val="21"/>
                <w:lang w:val="ru-RU"/>
              </w:rPr>
              <w:t>_____________</w:t>
            </w:r>
          </w:p>
          <w:p w:rsidR="004F6DE4" w:rsidRPr="00B74806" w:rsidRDefault="004F6DE4" w:rsidP="00B74806">
            <w:pPr>
              <w:pStyle w:val="aff3"/>
              <w:ind w:left="0"/>
              <w:jc w:val="both"/>
              <w:rPr>
                <w:iCs/>
                <w:sz w:val="21"/>
                <w:szCs w:val="21"/>
                <w:lang w:val="ru-RU"/>
              </w:rPr>
            </w:pPr>
            <w:r>
              <w:rPr>
                <w:iCs/>
                <w:sz w:val="21"/>
                <w:szCs w:val="21"/>
                <w:lang w:val="ru-RU"/>
              </w:rPr>
              <w:t xml:space="preserve"> «</w:t>
            </w:r>
            <w:r w:rsidR="00163E66">
              <w:rPr>
                <w:iCs/>
                <w:sz w:val="21"/>
                <w:szCs w:val="21"/>
                <w:lang w:val="ru-RU"/>
              </w:rPr>
              <w:t>__________</w:t>
            </w:r>
            <w:r>
              <w:rPr>
                <w:iCs/>
                <w:sz w:val="21"/>
                <w:szCs w:val="21"/>
                <w:lang w:val="ru-RU"/>
              </w:rPr>
              <w:t>»</w:t>
            </w:r>
          </w:p>
          <w:p w:rsidR="00707153" w:rsidRP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707153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>/</w:t>
            </w:r>
            <w:r w:rsidR="00B74806">
              <w:t xml:space="preserve"> </w:t>
            </w:r>
            <w:r w:rsidR="00163E66">
              <w:rPr>
                <w:sz w:val="21"/>
                <w:szCs w:val="21"/>
                <w:u w:val="single"/>
              </w:rPr>
              <w:t>________</w:t>
            </w:r>
            <w:r w:rsidR="00B74806" w:rsidRPr="00B74806">
              <w:rPr>
                <w:iCs/>
                <w:sz w:val="21"/>
                <w:szCs w:val="21"/>
              </w:rPr>
              <w:t xml:space="preserve"> </w:t>
            </w:r>
            <w:r w:rsidRPr="00B74806">
              <w:rPr>
                <w:bCs/>
                <w:sz w:val="21"/>
                <w:szCs w:val="21"/>
              </w:rPr>
              <w:t>/</w:t>
            </w:r>
            <w:r w:rsidRPr="00707153">
              <w:rPr>
                <w:bCs/>
                <w:sz w:val="21"/>
                <w:szCs w:val="21"/>
              </w:rPr>
              <w:t xml:space="preserve">   </w:t>
            </w:r>
          </w:p>
          <w:p w:rsidR="002E7CB2" w:rsidRPr="002E7CB2" w:rsidRDefault="00B74806" w:rsidP="00707153">
            <w:pPr>
              <w:shd w:val="clear" w:color="auto" w:fill="FFFFFF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м.п.</w:t>
            </w:r>
          </w:p>
        </w:tc>
        <w:tc>
          <w:tcPr>
            <w:tcW w:w="1418" w:type="dxa"/>
          </w:tcPr>
          <w:p w:rsidR="002E7CB2" w:rsidRPr="002E7CB2" w:rsidRDefault="002E7CB2" w:rsidP="000522C1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  <w:r w:rsidRPr="00F872AF">
              <w:rPr>
                <w:bCs/>
                <w:sz w:val="21"/>
                <w:szCs w:val="21"/>
                <w:u w:val="single"/>
              </w:rPr>
              <w:t>Н.Ф. Ганиев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м.п.</w:t>
            </w:r>
          </w:p>
        </w:tc>
      </w:tr>
    </w:tbl>
    <w:p w:rsidR="00B23CB8" w:rsidRPr="002E7CB2" w:rsidRDefault="00B23CB8" w:rsidP="00261E1E">
      <w:pPr>
        <w:rPr>
          <w:sz w:val="21"/>
          <w:szCs w:val="21"/>
        </w:rPr>
      </w:pPr>
    </w:p>
    <w:sectPr w:rsidR="00B23CB8" w:rsidRPr="002E7CB2" w:rsidSect="00261E1E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585" w:rsidRDefault="00B95585" w:rsidP="000D7C6A">
      <w:r>
        <w:separator/>
      </w:r>
    </w:p>
  </w:endnote>
  <w:endnote w:type="continuationSeparator" w:id="0">
    <w:p w:rsidR="00B95585" w:rsidRDefault="00B9558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585" w:rsidRDefault="00B95585" w:rsidP="000D7C6A">
      <w:r>
        <w:separator/>
      </w:r>
    </w:p>
  </w:footnote>
  <w:footnote w:type="continuationSeparator" w:id="0">
    <w:p w:rsidR="00B95585" w:rsidRDefault="00B9558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252E2"/>
    <w:rsid w:val="0003019A"/>
    <w:rsid w:val="00033214"/>
    <w:rsid w:val="000411F8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0C8D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226FE"/>
    <w:rsid w:val="00124C12"/>
    <w:rsid w:val="0013010E"/>
    <w:rsid w:val="00131E28"/>
    <w:rsid w:val="00135DC2"/>
    <w:rsid w:val="00141A57"/>
    <w:rsid w:val="0014669D"/>
    <w:rsid w:val="001468DF"/>
    <w:rsid w:val="00152141"/>
    <w:rsid w:val="001542C7"/>
    <w:rsid w:val="00163E66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37185"/>
    <w:rsid w:val="00241A38"/>
    <w:rsid w:val="00244988"/>
    <w:rsid w:val="00256985"/>
    <w:rsid w:val="00260139"/>
    <w:rsid w:val="00261E1E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A4581"/>
    <w:rsid w:val="002B132C"/>
    <w:rsid w:val="002B147F"/>
    <w:rsid w:val="002B483E"/>
    <w:rsid w:val="002B5226"/>
    <w:rsid w:val="002B5458"/>
    <w:rsid w:val="002C794C"/>
    <w:rsid w:val="002E06F1"/>
    <w:rsid w:val="002E0FDC"/>
    <w:rsid w:val="002E7CB2"/>
    <w:rsid w:val="0030063D"/>
    <w:rsid w:val="00313073"/>
    <w:rsid w:val="00320E36"/>
    <w:rsid w:val="003342B8"/>
    <w:rsid w:val="00335ED5"/>
    <w:rsid w:val="00335FDB"/>
    <w:rsid w:val="00340C2D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C80"/>
    <w:rsid w:val="00395E00"/>
    <w:rsid w:val="00396CBB"/>
    <w:rsid w:val="00397632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57B4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915DA"/>
    <w:rsid w:val="004A0263"/>
    <w:rsid w:val="004A0412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C5314"/>
    <w:rsid w:val="004D2DFF"/>
    <w:rsid w:val="004E1713"/>
    <w:rsid w:val="004E2761"/>
    <w:rsid w:val="004F3633"/>
    <w:rsid w:val="004F6605"/>
    <w:rsid w:val="004F6DE4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400"/>
    <w:rsid w:val="00620FC9"/>
    <w:rsid w:val="0062313E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70464E"/>
    <w:rsid w:val="00707153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31A9D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7F79B7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C4E"/>
    <w:rsid w:val="008B3B41"/>
    <w:rsid w:val="008B5611"/>
    <w:rsid w:val="008B5F43"/>
    <w:rsid w:val="008B7B95"/>
    <w:rsid w:val="008C1781"/>
    <w:rsid w:val="008C19B7"/>
    <w:rsid w:val="008C3D2E"/>
    <w:rsid w:val="008C4594"/>
    <w:rsid w:val="008D518B"/>
    <w:rsid w:val="008E0469"/>
    <w:rsid w:val="008F0B18"/>
    <w:rsid w:val="008F0D93"/>
    <w:rsid w:val="008F2DAC"/>
    <w:rsid w:val="008F752C"/>
    <w:rsid w:val="009009E9"/>
    <w:rsid w:val="00904593"/>
    <w:rsid w:val="009138B5"/>
    <w:rsid w:val="0091710D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5576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48BE"/>
    <w:rsid w:val="009A6DB8"/>
    <w:rsid w:val="009C5EB0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24ACF"/>
    <w:rsid w:val="00A33B80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B7624"/>
    <w:rsid w:val="00AC0448"/>
    <w:rsid w:val="00AC5176"/>
    <w:rsid w:val="00AE2809"/>
    <w:rsid w:val="00AE672F"/>
    <w:rsid w:val="00AE69CC"/>
    <w:rsid w:val="00AE7B1F"/>
    <w:rsid w:val="00AF1449"/>
    <w:rsid w:val="00AF3DD7"/>
    <w:rsid w:val="00AF3FF9"/>
    <w:rsid w:val="00B006E8"/>
    <w:rsid w:val="00B0089A"/>
    <w:rsid w:val="00B02B44"/>
    <w:rsid w:val="00B054C2"/>
    <w:rsid w:val="00B056D0"/>
    <w:rsid w:val="00B06B07"/>
    <w:rsid w:val="00B134D7"/>
    <w:rsid w:val="00B23CB8"/>
    <w:rsid w:val="00B27169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64F81"/>
    <w:rsid w:val="00B70EF4"/>
    <w:rsid w:val="00B74806"/>
    <w:rsid w:val="00B771AA"/>
    <w:rsid w:val="00B9102A"/>
    <w:rsid w:val="00B94DF8"/>
    <w:rsid w:val="00B95585"/>
    <w:rsid w:val="00B95748"/>
    <w:rsid w:val="00BA0FCE"/>
    <w:rsid w:val="00BA4256"/>
    <w:rsid w:val="00BA61F2"/>
    <w:rsid w:val="00BA70C9"/>
    <w:rsid w:val="00BB3420"/>
    <w:rsid w:val="00BB424E"/>
    <w:rsid w:val="00BC3D08"/>
    <w:rsid w:val="00BC5377"/>
    <w:rsid w:val="00BC72DB"/>
    <w:rsid w:val="00BD48E8"/>
    <w:rsid w:val="00BD5F85"/>
    <w:rsid w:val="00BE43D8"/>
    <w:rsid w:val="00BF1D7B"/>
    <w:rsid w:val="00BF64FB"/>
    <w:rsid w:val="00BF6904"/>
    <w:rsid w:val="00C0103A"/>
    <w:rsid w:val="00C03E05"/>
    <w:rsid w:val="00C123AC"/>
    <w:rsid w:val="00C14C03"/>
    <w:rsid w:val="00C158AB"/>
    <w:rsid w:val="00C233D6"/>
    <w:rsid w:val="00C331B1"/>
    <w:rsid w:val="00C335B8"/>
    <w:rsid w:val="00C3445A"/>
    <w:rsid w:val="00C47075"/>
    <w:rsid w:val="00C53623"/>
    <w:rsid w:val="00C552D9"/>
    <w:rsid w:val="00C55CC0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5A46"/>
    <w:rsid w:val="00CA69D6"/>
    <w:rsid w:val="00CB1EB1"/>
    <w:rsid w:val="00CB3C5B"/>
    <w:rsid w:val="00CD04AE"/>
    <w:rsid w:val="00CD076F"/>
    <w:rsid w:val="00CD70BD"/>
    <w:rsid w:val="00CF5057"/>
    <w:rsid w:val="00CF5260"/>
    <w:rsid w:val="00D02313"/>
    <w:rsid w:val="00D034E5"/>
    <w:rsid w:val="00D05F7A"/>
    <w:rsid w:val="00D1393E"/>
    <w:rsid w:val="00D14BFE"/>
    <w:rsid w:val="00D23F3A"/>
    <w:rsid w:val="00D26D8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3CE6"/>
    <w:rsid w:val="00D94F00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0246"/>
    <w:rsid w:val="00E12F30"/>
    <w:rsid w:val="00E15879"/>
    <w:rsid w:val="00E165B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592A"/>
    <w:rsid w:val="00E576D9"/>
    <w:rsid w:val="00E62167"/>
    <w:rsid w:val="00E627BD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DD1"/>
    <w:rsid w:val="00F73FC4"/>
    <w:rsid w:val="00F7715E"/>
    <w:rsid w:val="00F8354E"/>
    <w:rsid w:val="00F84FCC"/>
    <w:rsid w:val="00F872AF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B72B4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B0381B"/>
  <w15:docId w15:val="{CD03181D-CA5F-4CD5-A30C-F9DA9AE1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43738-FFD3-4FF4-8089-C1A4E5ED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3809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25476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Величко Наталья Эдуардовна</cp:lastModifiedBy>
  <cp:revision>26</cp:revision>
  <cp:lastPrinted>2019-12-17T06:36:00Z</cp:lastPrinted>
  <dcterms:created xsi:type="dcterms:W3CDTF">2020-10-15T05:40:00Z</dcterms:created>
  <dcterms:modified xsi:type="dcterms:W3CDTF">2024-08-27T04:09:00Z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